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B250" w14:textId="77777777" w:rsidR="004003FC" w:rsidRDefault="00BB0FC9">
      <w:pPr>
        <w:spacing w:after="200" w:line="276" w:lineRule="auto"/>
      </w:pPr>
      <w:r>
        <w:rPr>
          <w:b/>
          <w:bCs/>
        </w:rPr>
        <w:t>Dear [Senator/Delegate Name],</w:t>
      </w:r>
    </w:p>
    <w:p w14:paraId="3C39B251" w14:textId="77777777" w:rsidR="004003FC" w:rsidRDefault="00BB0FC9">
      <w:pPr>
        <w:spacing w:after="200" w:line="276" w:lineRule="auto"/>
      </w:pPr>
      <w:r>
        <w:rPr>
          <w:b/>
          <w:bCs/>
        </w:rPr>
        <w:t>[Personal paragraph — you fill in. 2-4 sentences. This paragraph matters.]</w:t>
      </w:r>
    </w:p>
    <w:p w14:paraId="282AA77F" w14:textId="77777777" w:rsidR="0063269F" w:rsidRDefault="0063269F" w:rsidP="00094A49">
      <w:pPr>
        <w:spacing w:after="200" w:line="276" w:lineRule="auto"/>
        <w:ind w:left="720"/>
      </w:pPr>
      <w:r>
        <w:t xml:space="preserve">Who </w:t>
      </w:r>
      <w:proofErr w:type="gramStart"/>
      <w:r>
        <w:t>you are.</w:t>
      </w:r>
      <w:proofErr w:type="gramEnd"/>
    </w:p>
    <w:p w14:paraId="3C39B25D" w14:textId="2C8FEAAD" w:rsidR="004003FC" w:rsidRDefault="0063269F" w:rsidP="00094A49">
      <w:pPr>
        <w:spacing w:after="200" w:line="276" w:lineRule="auto"/>
        <w:ind w:left="720"/>
      </w:pPr>
      <w:r>
        <w:t xml:space="preserve">Your relationship </w:t>
      </w:r>
      <w:proofErr w:type="gramStart"/>
      <w:r>
        <w:t>to</w:t>
      </w:r>
      <w:proofErr w:type="gramEnd"/>
      <w:r>
        <w:t xml:space="preserve"> SPARC.</w:t>
      </w:r>
    </w:p>
    <w:p w14:paraId="020BAB3B" w14:textId="2223647C" w:rsidR="0063269F" w:rsidRDefault="0063269F" w:rsidP="00094A49">
      <w:pPr>
        <w:spacing w:after="200" w:line="276" w:lineRule="auto"/>
        <w:ind w:left="720"/>
      </w:pPr>
      <w:r>
        <w:t>What you have witnessed or experienced.</w:t>
      </w:r>
    </w:p>
    <w:p w14:paraId="3C39B25E" w14:textId="77777777" w:rsidR="004003FC" w:rsidRDefault="00BB0FC9">
      <w:pPr>
        <w:spacing w:after="200" w:line="276" w:lineRule="auto"/>
      </w:pPr>
      <w:r>
        <w:rPr>
          <w:b/>
          <w:bCs/>
        </w:rPr>
        <w:t>I am asking you to adopt the Senate’s $500,000 for SPARC in the conference report</w:t>
      </w:r>
      <w:r>
        <w:t xml:space="preserve"> (SB30 Item 300 #8s). The House version includes $250,000 previously appropriated.</w:t>
      </w:r>
    </w:p>
    <w:p w14:paraId="3C39B25F" w14:textId="36B5D2AD" w:rsidR="004003FC" w:rsidRDefault="00BB0FC9">
      <w:pPr>
        <w:spacing w:after="200" w:line="276" w:lineRule="auto"/>
      </w:pPr>
      <w:r>
        <w:rPr>
          <w:b/>
          <w:bCs/>
        </w:rPr>
        <w:t>SPARC exists because Medicaid excludes the very people who need it the most.</w:t>
      </w:r>
      <w:r>
        <w:t xml:space="preserve"> The adults </w:t>
      </w:r>
      <w:r w:rsidR="0063269F">
        <w:t>SPARC</w:t>
      </w:r>
      <w:r>
        <w:t xml:space="preserve"> serve</w:t>
      </w:r>
      <w:r w:rsidR="0063269F">
        <w:t>s</w:t>
      </w:r>
      <w:r>
        <w:t xml:space="preserve"> cannot access day services through Virginia’s Medicaid Waiver system — not because the funding levels are too low, but because the system specifically excludes people who need one-to-one support from </w:t>
      </w:r>
      <w:r w:rsidRPr="0063269F">
        <w:rPr>
          <w:b/>
          <w:bCs/>
          <w:i/>
          <w:iCs/>
          <w:u w:val="single"/>
        </w:rPr>
        <w:t>their own</w:t>
      </w:r>
      <w:r>
        <w:t xml:space="preserve"> caregivers. Before SPARC, their “choice” was isolation. The General Assembly recognized this problem years ago and set aside direct funding for SPARC as the alternative to what Medicaid does not fund. I am asking you to support a decision the legislature has already made.</w:t>
      </w:r>
    </w:p>
    <w:p w14:paraId="3C39B260" w14:textId="67C40524" w:rsidR="004003FC" w:rsidRDefault="00BB0FC9">
      <w:pPr>
        <w:spacing w:after="200" w:line="276" w:lineRule="auto"/>
      </w:pPr>
      <w:r>
        <w:rPr>
          <w:b/>
          <w:bCs/>
        </w:rPr>
        <w:t>The difference between the House and Senate positions is $250,000 a year.</w:t>
      </w:r>
      <w:r>
        <w:t xml:space="preserve"> Virginia is under a Permanent Injunction </w:t>
      </w:r>
      <w:r w:rsidR="009D21E8">
        <w:t>-</w:t>
      </w:r>
      <w:r>
        <w:t xml:space="preserve"> a binding federal court order </w:t>
      </w:r>
      <w:r w:rsidR="009D21E8">
        <w:t>-</w:t>
      </w:r>
      <w:r>
        <w:t xml:space="preserve"> in </w:t>
      </w:r>
      <w:r>
        <w:rPr>
          <w:i/>
          <w:iCs/>
        </w:rPr>
        <w:t>United States v. Virginia</w:t>
      </w:r>
      <w:r>
        <w:t xml:space="preserve"> requiring it to expand integrated day services for people with developmental disabilities. The federal court is actively monitoring whether the Commonwealth is making progress. SPARC serves exactly the population the court identified, at roughly $15,</w:t>
      </w:r>
      <w:r w:rsidR="0063269F">
        <w:t>8</w:t>
      </w:r>
      <w:r>
        <w:t xml:space="preserve">00 per person </w:t>
      </w:r>
      <w:r w:rsidR="009D21E8">
        <w:t>-</w:t>
      </w:r>
      <w:r>
        <w:t xml:space="preserve"> a fraction of the costs of comparable Medicaid programs </w:t>
      </w:r>
      <w:r w:rsidR="0063269F">
        <w:t xml:space="preserve">(approximately $59,000 per person) </w:t>
      </w:r>
      <w:r>
        <w:t>which cannot serve this population at all</w:t>
      </w:r>
      <w:r w:rsidRPr="0063269F">
        <w:rPr>
          <w:b/>
          <w:bCs/>
        </w:rPr>
        <w:t>. As General Assembly budget leaders have told the court themselves, Virginia would rather invest in services than pay the consequences of not providing them.</w:t>
      </w:r>
      <w:r>
        <w:t xml:space="preserve"> </w:t>
      </w:r>
      <w:r w:rsidR="0063269F">
        <w:t xml:space="preserve">(See attached letter) </w:t>
      </w:r>
      <w:r>
        <w:t>This is one of the smallest, most cost-effective ways to demonstrate that Virginia means it. To put it in concrete terms: Virginia’s general fund spends roughly $93 million per day. The entire annual SPARC increase the conferees are debating is what the Commonwealth spends in approximately 3 minutes and 52 seconds.</w:t>
      </w:r>
    </w:p>
    <w:p w14:paraId="3C39B261" w14:textId="50C64C83" w:rsidR="004003FC" w:rsidRDefault="00BB0FC9">
      <w:pPr>
        <w:spacing w:after="200" w:line="276" w:lineRule="auto"/>
      </w:pPr>
      <w:r>
        <w:rPr>
          <w:b/>
          <w:bCs/>
        </w:rPr>
        <w:t xml:space="preserve">As a </w:t>
      </w:r>
      <w:r w:rsidR="0063269F">
        <w:rPr>
          <w:b/>
          <w:bCs/>
        </w:rPr>
        <w:t>(family</w:t>
      </w:r>
      <w:r>
        <w:rPr>
          <w:b/>
          <w:bCs/>
        </w:rPr>
        <w:t xml:space="preserve"> member</w:t>
      </w:r>
      <w:r w:rsidR="0063269F">
        <w:rPr>
          <w:b/>
          <w:bCs/>
        </w:rPr>
        <w:t>/Participant/Friend)</w:t>
      </w:r>
      <w:r>
        <w:rPr>
          <w:b/>
          <w:bCs/>
        </w:rPr>
        <w:t xml:space="preserve"> I want to be direct.</w:t>
      </w:r>
      <w:r>
        <w:t xml:space="preserve"> At $250,000, SPARC can maintain a fraction of its current operations. At $500,000, it can sustain the services that 65 adults and their families rely on every week. The difference is $250,000 — and for the families on the wrong side of that line, it is the difference between a program and nothing. No day services. No community. No peers. Just home, every day, alone. That is the outcome the federal court has ordered the Commonwealth to prevent.</w:t>
      </w:r>
    </w:p>
    <w:p w14:paraId="3C39B262" w14:textId="77777777" w:rsidR="004003FC" w:rsidRDefault="00BB0FC9">
      <w:pPr>
        <w:spacing w:after="200" w:line="276" w:lineRule="auto"/>
      </w:pPr>
      <w:r>
        <w:t>Respectfully,</w:t>
      </w:r>
    </w:p>
    <w:p w14:paraId="3C39B263" w14:textId="77777777" w:rsidR="004003FC" w:rsidRDefault="00BB0FC9">
      <w:pPr>
        <w:spacing w:after="200" w:line="276" w:lineRule="auto"/>
      </w:pPr>
      <w:r>
        <w:t>[Name]</w:t>
      </w:r>
    </w:p>
    <w:p w14:paraId="3C39B264" w14:textId="170E2FFE" w:rsidR="0063269F" w:rsidRDefault="00BB0FC9" w:rsidP="0063269F">
      <w:pPr>
        <w:spacing w:after="200" w:line="276" w:lineRule="auto"/>
      </w:pPr>
      <w:r>
        <w:t>[Title, SPARC Board of Directors]</w:t>
      </w:r>
    </w:p>
    <w:p w14:paraId="3C39B290" w14:textId="1653D148" w:rsidR="004003FC" w:rsidRDefault="00BB0FC9">
      <w:pPr>
        <w:spacing w:after="200" w:line="276" w:lineRule="auto"/>
      </w:pPr>
      <w:r>
        <w:t xml:space="preserve"> </w:t>
      </w:r>
    </w:p>
    <w:sectPr w:rsidR="004003F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4630"/>
    <w:multiLevelType w:val="hybridMultilevel"/>
    <w:tmpl w:val="A4C809C4"/>
    <w:lvl w:ilvl="0" w:tplc="0298C1AE">
      <w:start w:val="1"/>
      <w:numFmt w:val="bullet"/>
      <w:lvlText w:val="●"/>
      <w:lvlJc w:val="left"/>
      <w:pPr>
        <w:ind w:left="720" w:hanging="360"/>
      </w:pPr>
    </w:lvl>
    <w:lvl w:ilvl="1" w:tplc="B6A09238">
      <w:start w:val="1"/>
      <w:numFmt w:val="bullet"/>
      <w:lvlText w:val="○"/>
      <w:lvlJc w:val="left"/>
      <w:pPr>
        <w:ind w:left="1440" w:hanging="360"/>
      </w:pPr>
    </w:lvl>
    <w:lvl w:ilvl="2" w:tplc="05F8543C">
      <w:start w:val="1"/>
      <w:numFmt w:val="bullet"/>
      <w:lvlText w:val="■"/>
      <w:lvlJc w:val="left"/>
      <w:pPr>
        <w:ind w:left="2160" w:hanging="360"/>
      </w:pPr>
    </w:lvl>
    <w:lvl w:ilvl="3" w:tplc="EF843C46">
      <w:start w:val="1"/>
      <w:numFmt w:val="bullet"/>
      <w:lvlText w:val="●"/>
      <w:lvlJc w:val="left"/>
      <w:pPr>
        <w:ind w:left="2880" w:hanging="360"/>
      </w:pPr>
    </w:lvl>
    <w:lvl w:ilvl="4" w:tplc="DA0EF58E">
      <w:start w:val="1"/>
      <w:numFmt w:val="bullet"/>
      <w:lvlText w:val="○"/>
      <w:lvlJc w:val="left"/>
      <w:pPr>
        <w:ind w:left="3600" w:hanging="360"/>
      </w:pPr>
    </w:lvl>
    <w:lvl w:ilvl="5" w:tplc="0F7A06FC">
      <w:start w:val="1"/>
      <w:numFmt w:val="bullet"/>
      <w:lvlText w:val="■"/>
      <w:lvlJc w:val="left"/>
      <w:pPr>
        <w:ind w:left="4320" w:hanging="360"/>
      </w:pPr>
    </w:lvl>
    <w:lvl w:ilvl="6" w:tplc="61B6E424">
      <w:start w:val="1"/>
      <w:numFmt w:val="bullet"/>
      <w:lvlText w:val="●"/>
      <w:lvlJc w:val="left"/>
      <w:pPr>
        <w:ind w:left="5040" w:hanging="360"/>
      </w:pPr>
    </w:lvl>
    <w:lvl w:ilvl="7" w:tplc="EFAC5DD0">
      <w:start w:val="1"/>
      <w:numFmt w:val="bullet"/>
      <w:lvlText w:val="●"/>
      <w:lvlJc w:val="left"/>
      <w:pPr>
        <w:ind w:left="5760" w:hanging="360"/>
      </w:pPr>
    </w:lvl>
    <w:lvl w:ilvl="8" w:tplc="91B8C680">
      <w:start w:val="1"/>
      <w:numFmt w:val="bullet"/>
      <w:lvlText w:val="●"/>
      <w:lvlJc w:val="left"/>
      <w:pPr>
        <w:ind w:left="6480" w:hanging="360"/>
      </w:pPr>
    </w:lvl>
  </w:abstractNum>
  <w:num w:numId="1" w16cid:durableId="1542403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3FC"/>
    <w:rsid w:val="00094A49"/>
    <w:rsid w:val="00292518"/>
    <w:rsid w:val="002A1BB8"/>
    <w:rsid w:val="004003FC"/>
    <w:rsid w:val="004D787D"/>
    <w:rsid w:val="005B1F37"/>
    <w:rsid w:val="0063269F"/>
    <w:rsid w:val="009D21E8"/>
    <w:rsid w:val="00B878FE"/>
    <w:rsid w:val="00BB0FC9"/>
    <w:rsid w:val="00CB2F75"/>
    <w:rsid w:val="00E4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9B24E"/>
  <w15:docId w15:val="{835212E8-EB33-4B88-AE15-91868FE2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hirsfeld@irsfeldlaw.com</dc:creator>
  <cp:lastModifiedBy>Debi Alexander</cp:lastModifiedBy>
  <cp:revision>2</cp:revision>
  <dcterms:created xsi:type="dcterms:W3CDTF">2026-03-09T12:49:00Z</dcterms:created>
  <dcterms:modified xsi:type="dcterms:W3CDTF">2026-03-09T12:49:00Z</dcterms:modified>
</cp:coreProperties>
</file>